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0A415C"/>
          <w:sz w:val="32"/>
          <w:szCs w:val="32"/>
        </w:rPr>
        <w:t xml:space="preserve">ENSO</w:t>
      </w:r>
    </w:p>
    <w:p>
      <w:pPr>
        <w:spacing w:after="60"/>
      </w:pPr>
      <w:r>
        <w:rPr>
          <w:color w:val="444444"/>
          <w:sz w:val="21"/>
          <w:szCs w:val="21"/>
        </w:rPr>
        <w:t xml:space="preserve">Revue Enjeux sociétaux</w:t>
      </w:r>
    </w:p>
    <w:p>
      <w:pPr>
        <w:pBdr>
          <w:bottom w:val="single" w:color="0A415C" w:sz="12"/>
        </w:pBdr>
        <w:spacing w:after="200"/>
      </w:pPr>
      <w:r>
        <w:rPr>
          <w:b/>
          <w:bCs/>
          <w:color w:val="0A415C"/>
          <w:sz w:val="18"/>
          <w:szCs w:val="18"/>
        </w:rPr>
        <w:t xml:space="preserve">LISTE DE VÉRIFICATION AVANT SOUMISSION</w:t>
      </w:r>
    </w:p>
    <w:p>
      <w:pPr>
        <w:shd w:fill="FDF6E7" w:val="clear"/>
        <w:spacing w:after="240" w:before="40"/>
      </w:pPr>
      <w:r>
        <w:rPr>
          <w:b/>
          <w:bCs/>
          <w:sz w:val="20"/>
          <w:szCs w:val="20"/>
        </w:rPr>
        <w:t xml:space="preserve">Les 13 points marqués BLOQUANT conditionnent la recevabilité. </w:t>
      </w:r>
      <w:r>
        <w:rPr>
          <w:sz w:val="20"/>
          <w:szCs w:val="20"/>
        </w:rPr>
        <w:t xml:space="preserve">Une soumission qui en manque un est retournée sans examen — ce n'est pas une sévérité de forme : un manuscrit non anonymisé ne peut tout simplement pas partir en évaluation en double aveugle. Les autres points ne retardent que la publication.</w:t>
      </w:r>
    </w:p>
    <w:p>
      <w:pPr>
        <w:spacing w:after="100" w:before="300"/>
      </w:pPr>
      <w:r>
        <w:rPr>
          <w:b/>
          <w:bCs/>
          <w:caps/>
          <w:color w:val="0A415C"/>
          <w:sz w:val="22"/>
          <w:szCs w:val="22"/>
        </w:rPr>
        <w:t xml:space="preserve">Recevabilité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520"/>
        <w:gridCol w:w="8840"/>
      </w:tblGrid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0A415C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 manuscrit est inédit et n'est en cours d'évaluation dans aucune autre revue.</w:t>
            </w:r>
            <w:r>
              <w:rPr>
                <w:b/>
                <w:bCs/>
                <w:color w:val="0A415C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0A415C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Deux fichiers Word : la page de titre (qui porte votre identité) et le manuscrit (qui n’en porte aucune).</w:t>
            </w:r>
            <w:r>
              <w:rPr>
                <w:b/>
                <w:bCs/>
                <w:color w:val="0A415C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0A415C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 manuscrit ne porte aucun nom, aucune affiliation, aucun remerciement, aucune mention de financement. Les autocitations sont neutralisées : « (Auteur, année) ».</w:t>
            </w:r>
            <w:r>
              <w:rPr>
                <w:b/>
                <w:bCs/>
                <w:color w:val="0A415C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0A415C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Les propriétés du fichier Word ont été purgées (Fichier → Informations → Inspecter le document) : elles conservent votre nom même quand le texte n'en porte plus.</w:t>
            </w:r>
            <w:r>
              <w:rPr>
                <w:b/>
                <w:bCs/>
                <w:color w:val="0A415C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0A415C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Les cinq déclarations sont fournies : exclusivité, conflits d'intérêts, financement, autorisations, contribution de chaque auteur.</w:t>
            </w:r>
            <w:r>
              <w:rPr>
                <w:b/>
                <w:bCs/>
                <w:color w:val="0A415C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0A415C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Tout usage substantiel d'un outil d'intelligence artificielle est déclaré. Une IA ne peut pas être auteur. Vous restez responsable de l'exactitude des références — y compris de toute référence fabriquée.</w:t>
            </w:r>
            <w:r>
              <w:rPr>
                <w:b/>
                <w:bCs/>
                <w:color w:val="0A415C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0A415C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Un fichier Word, SIGNÉ : ce texte n’est pas anonymisé — il porte votre nom, votre affiliation et votre courriel. Vous en répondez.</w:t>
            </w:r>
            <w:r>
              <w:rPr>
                <w:b/>
                <w:bCs/>
                <w:color w:val="0A415C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0A415C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La personne interrogée a lu et validé le texte de l’entretien.</w:t>
            </w:r>
            <w:r>
              <w:rPr>
                <w:b/>
                <w:bCs/>
                <w:color w:val="0A415C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0A415C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Vos liens avec l'auteur de l'ouvrage, son institution et son éditeur sont déclarés. Un lien non déclaré est un motif de RETRAIT après publication.</w:t>
            </w:r>
            <w:r>
              <w:rPr>
                <w:b/>
                <w:bCs/>
                <w:color w:val="0A415C"/>
                <w:sz w:val="15"/>
                <w:szCs w:val="15"/>
              </w:rPr>
              <w:t xml:space="preserve">   BLOQUANT</w:t>
            </w:r>
          </w:p>
        </w:tc>
      </w:tr>
    </w:tbl>
    <w:p>
      <w:pPr>
        <w:spacing w:after="100" w:before="300"/>
      </w:pPr>
      <w:r>
        <w:rPr>
          <w:b/>
          <w:bCs/>
          <w:caps/>
          <w:color w:val="0A415C"/>
          <w:sz w:val="22"/>
          <w:szCs w:val="22"/>
        </w:rPr>
        <w:t xml:space="preserve">Forme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520"/>
        <w:gridCol w:w="8840"/>
      </w:tblGrid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Longueur respectée : 6 000 à 8 000 mots (bibliographie non comprise).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0A415C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Résumé : 120 à 150 mots.</w:t>
            </w:r>
            <w:r>
              <w:rPr>
                <w:b/>
                <w:bCs/>
                <w:color w:val="0A415C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0A415C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5 à 7 mots-clés.</w:t>
            </w:r>
            <w:r>
              <w:rPr>
                <w:b/>
                <w:bCs/>
                <w:color w:val="0A415C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Sections numérotées 1. / 1.1 / 1.1.1, sur trois niveaux au maximum. L'introduction et la conclusion ne sont pas numérotées.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Times New Roman 12 pt (notes 10 pt), interligne 1,5, paragraphes justifiés, marges de 2,5 cm.</w:t>
            </w:r>
          </w:p>
        </w:tc>
      </w:tr>
    </w:tbl>
    <w:p>
      <w:pPr>
        <w:spacing w:after="100" w:before="300"/>
      </w:pPr>
      <w:r>
        <w:rPr>
          <w:b/>
          <w:bCs/>
          <w:caps/>
          <w:color w:val="0A415C"/>
          <w:sz w:val="22"/>
          <w:szCs w:val="22"/>
        </w:rPr>
        <w:t xml:space="preserve">Références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520"/>
        <w:gridCol w:w="8840"/>
      </w:tblGrid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0A415C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Toutes les références citées dans le texte figurent dans la bibliographie, et réciproquement.</w:t>
            </w:r>
            <w:r>
              <w:rPr>
                <w:b/>
                <w:bCs/>
                <w:color w:val="0A415C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Un seul mode de citation dans tout l'article : auteur-date (Casimir 2018) OU notes de bas de page. Ne pas panacher. La revue recommande l'auteur-date, mais l'autre mode est pleinement accepté.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 prénom complet de chaque auteur, jamais l'initiale : « Mbembe, Achille », et non « Mbembe, A. ». Une initiale est facile à fabriquer et lente à vérifier.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 nom de l'auteur est répété à chaque entrée. Le tiret de répétition (———) est interdit : il casse le tri alphabétique, le dépôt Crossref et les lecteurs d'écran.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Chaque DOI est donné sous la forme https://doi.org/… et non en chaîne nue.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Les rééditions d'œuvres classiques portent leurs deux dates : (Lévinas 1961/1990) en auteur-date, (Le Livre de Poche, 1990 [1961]) en note.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Casse française pour les titres français (La communauté terrestre), Title Case préservée pour les titres anglais (On the Postcolony).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Sources juridiques haïtiennes : chaque acte porte sa référence au Moniteur (année, numéro, date) ; chaque décision dit où elle a été consultée ; chaque acte est nommé exactement (loi, décret, arrêté — jamais un générique). La Constitution de 1987 amendée se cite d’après Le Moniteur nº 98 du 19 juin 2012 — non le nº 58, qui est erroné.</w:t>
            </w:r>
          </w:p>
        </w:tc>
      </w:tr>
    </w:tbl>
    <w:p>
      <w:pPr>
        <w:spacing w:after="100" w:before="300"/>
      </w:pPr>
      <w:r>
        <w:rPr>
          <w:b/>
          <w:bCs/>
          <w:caps/>
          <w:color w:val="0A415C"/>
          <w:sz w:val="22"/>
          <w:szCs w:val="22"/>
        </w:rPr>
        <w:t xml:space="preserve">Matériel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520"/>
        <w:gridCol w:w="8840"/>
      </w:tblGrid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Tableaux et figures en fichiers séparés, numérotés, légendés, à 300 dpi au minimum, avec le point d'insertion signalé dans le texte.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0A415C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Les autorisations écrites ont été obtenues pour tout matériel protégé (figures, photos, jeux de données).</w:t>
            </w:r>
            <w:r>
              <w:rPr>
                <w:b/>
                <w:bCs/>
                <w:color w:val="0A415C"/>
                <w:sz w:val="15"/>
                <w:szCs w:val="15"/>
              </w:rPr>
              <w:t xml:space="preserve">   BLOQUANT</w:t>
            </w:r>
          </w:p>
        </w:tc>
      </w:tr>
    </w:tbl>
    <w:p>
      <w:pPr>
        <w:pBdr>
          <w:top w:val="single" w:color="DDDDDD" w:sz="2"/>
        </w:pBdr>
        <w:spacing w:before="400"/>
        <w:jc w:val="center"/>
      </w:pPr>
      <w:r>
        <w:rPr>
          <w:color w:val="999999"/>
          <w:sz w:val="17"/>
          <w:szCs w:val="17"/>
        </w:rPr>
        <w:t xml:space="preserve">Éditions Charesso · ENSO · Aucun frais de soumission ni de publication</w:t>
      </w:r>
    </w:p>
    <w:p>
      <w:pPr>
        <w:jc w:val="center"/>
      </w:pPr>
      <w:r>
        <w:rPr>
          <w:color w:val="999999"/>
          <w:sz w:val="17"/>
          <w:szCs w:val="17"/>
        </w:rPr>
        <w:t xml:space="preserve">Consignes complètes : journals.charesso.org/enso/pour-les-auteurs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Liste de vérification avant soumission — ENSO</dc:title>
  <dc:creator>CHARESSO</dc:creator>
  <dc:description>Liste de vérification avant soumission pour Revue Enjeux sociétaux. Éditions Charesso.</dc:description>
  <cp:lastModifiedBy>Un-named</cp:lastModifiedBy>
  <cp:revision>1</cp:revision>
  <dcterms:created xsi:type="dcterms:W3CDTF">2026-07-12T16:09:33.679Z</dcterms:created>
  <dcterms:modified xsi:type="dcterms:W3CDTF">2026-07-12T16:09:33.679Z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